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27                        </w:t>
      </w:r>
      <w:r>
        <w:rPr>
          <w:rFonts w:hint="eastAsia" w:ascii="Segoe UI" w:hAnsi="Segoe UI" w:eastAsia="等线" w:cs="Segoe UI"/>
          <w:color w:val="000000"/>
          <w:sz w:val="22"/>
          <w:szCs w:val="22"/>
          <w:lang w:val="en-US" w:eastAsia="zh-CN" w:bidi="ar"/>
        </w:rPr>
        <w:t>R2-2407024</w:t>
      </w:r>
      <w:bookmarkStart w:id="4" w:name="_GoBack"/>
      <w:bookmarkEnd w:id="4"/>
    </w:p>
    <w:p>
      <w:pPr>
        <w:pStyle w:val="8"/>
        <w:rPr>
          <w:rFonts w:hint="eastAsia" w:eastAsia="宋体"/>
          <w:lang w:val="en-US" w:eastAsia="zh-CN"/>
        </w:rPr>
      </w:pPr>
      <w:r>
        <w:rPr>
          <w:rFonts w:hint="eastAsia" w:eastAsia="宋体"/>
          <w:lang w:val="en-US" w:eastAsia="zh-CN"/>
        </w:rPr>
        <w:t>Maastricht</w:t>
      </w:r>
      <w:r>
        <w:t xml:space="preserve">, </w:t>
      </w:r>
      <w:r>
        <w:rPr>
          <w:rFonts w:hint="eastAsia" w:eastAsia="宋体"/>
          <w:lang w:val="en-US" w:eastAsia="zh-CN"/>
        </w:rPr>
        <w:t>Netherlands</w:t>
      </w:r>
      <w:r>
        <w:t xml:space="preserve">, </w:t>
      </w:r>
      <w:r>
        <w:rPr>
          <w:rFonts w:hint="eastAsia" w:eastAsia="宋体"/>
          <w:lang w:val="en-US" w:eastAsia="zh-CN"/>
        </w:rPr>
        <w:t>Aug.19</w:t>
      </w:r>
      <w:r>
        <w:rPr>
          <w:rFonts w:hint="eastAsia" w:eastAsia="宋体"/>
          <w:vertAlign w:val="superscript"/>
          <w:lang w:val="en-US" w:eastAsia="zh-CN"/>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w:t>
      </w:r>
      <w:r>
        <w:rPr>
          <w:rFonts w:hint="eastAsia" w:eastAsia="宋体"/>
          <w:lang w:val="en-US" w:eastAsia="zh-CN"/>
        </w:rPr>
        <w:t>23</w:t>
      </w:r>
      <w:r>
        <w:rPr>
          <w:rFonts w:hint="eastAsia" w:eastAsia="宋体"/>
          <w:vertAlign w:val="superscript"/>
          <w:lang w:val="en-US" w:eastAsia="zh-CN"/>
        </w:rPr>
        <w:t>rd</w:t>
      </w:r>
      <w:r>
        <w:rPr>
          <w:lang w:val="en-GB"/>
        </w:rPr>
        <w:t>, 202</w:t>
      </w:r>
      <w:r>
        <w:rPr>
          <w:rFonts w:hint="eastAsia" w:eastAsia="宋体"/>
          <w:lang w:val="en-US" w:eastAsia="zh-CN"/>
        </w:rPr>
        <w:t>4</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event triggered L1 measurement configuration for LTM</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26</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measurement enhancements for LTM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Style w:val="16"/>
        <w:pBdr>
          <w:top w:val="single" w:color="auto" w:sz="4" w:space="1"/>
          <w:left w:val="single" w:color="auto" w:sz="4" w:space="4"/>
          <w:bottom w:val="single" w:color="auto" w:sz="4" w:space="1"/>
          <w:right w:val="single" w:color="auto" w:sz="4" w:space="4"/>
        </w:pBdr>
        <w:rPr>
          <w:b/>
          <w:bCs/>
          <w:lang w:val="en-US"/>
        </w:rPr>
      </w:pPr>
      <w:r>
        <w:rPr>
          <w:b/>
          <w:bCs/>
          <w:lang w:val="en-US"/>
        </w:rPr>
        <w:t>Agreements on measurement enhancements for LTM:</w:t>
      </w:r>
    </w:p>
    <w:p>
      <w:pPr>
        <w:pStyle w:val="16"/>
        <w:numPr>
          <w:ilvl w:val="0"/>
          <w:numId w:val="4"/>
        </w:numPr>
        <w:pBdr>
          <w:top w:val="single" w:color="auto" w:sz="4" w:space="1"/>
          <w:left w:val="single" w:color="auto" w:sz="4" w:space="4"/>
          <w:bottom w:val="single" w:color="auto" w:sz="4" w:space="1"/>
          <w:right w:val="single" w:color="auto" w:sz="4" w:space="4"/>
        </w:pBdr>
        <w:overflowPunct/>
        <w:autoSpaceDE/>
        <w:autoSpaceDN/>
        <w:adjustRightInd/>
        <w:textAlignment w:val="auto"/>
        <w:rPr>
          <w:lang w:val="en-US"/>
        </w:rPr>
      </w:pPr>
      <w:r>
        <w:rPr>
          <w:lang w:val="en-US"/>
        </w:rPr>
        <w:t>Event triggered L1 measurement should be designed for the following LTM purposes:</w:t>
      </w:r>
    </w:p>
    <w:p>
      <w:pPr>
        <w:pStyle w:val="16"/>
        <w:pBdr>
          <w:top w:val="single" w:color="auto" w:sz="4" w:space="1"/>
          <w:left w:val="single" w:color="auto" w:sz="4" w:space="4"/>
          <w:bottom w:val="single" w:color="auto" w:sz="4" w:space="1"/>
          <w:right w:val="single" w:color="auto" w:sz="4" w:space="4"/>
        </w:pBdr>
        <w:ind w:left="1259" w:firstLine="0"/>
        <w:rPr>
          <w:lang w:val="en-US"/>
        </w:rPr>
      </w:pPr>
      <w:r>
        <w:rPr>
          <w:lang w:val="en-US"/>
        </w:rPr>
        <w:tab/>
      </w:r>
      <w:r>
        <w:rPr>
          <w:lang w:val="en-US"/>
        </w:rPr>
        <w:t>- Select the candidate beam/cell to trigger early synchronization.</w:t>
      </w:r>
    </w:p>
    <w:p>
      <w:pPr>
        <w:pStyle w:val="16"/>
        <w:pBdr>
          <w:top w:val="single" w:color="auto" w:sz="4" w:space="1"/>
          <w:left w:val="single" w:color="auto" w:sz="4" w:space="4"/>
          <w:bottom w:val="single" w:color="auto" w:sz="4" w:space="1"/>
          <w:right w:val="single" w:color="auto" w:sz="4" w:space="4"/>
        </w:pBdr>
        <w:rPr>
          <w:lang w:val="en-US"/>
        </w:rPr>
      </w:pPr>
      <w:r>
        <w:rPr>
          <w:lang w:val="en-US"/>
        </w:rPr>
        <w:t xml:space="preserve"> </w:t>
      </w:r>
      <w:r>
        <w:rPr>
          <w:lang w:val="en-US"/>
        </w:rPr>
        <w:tab/>
      </w:r>
      <w:r>
        <w:rPr>
          <w:lang w:val="en-US"/>
        </w:rPr>
        <w:t>- Select the target beam/cell and trigger LTM cell switch procedure.</w:t>
      </w:r>
    </w:p>
    <w:p>
      <w:pPr>
        <w:pStyle w:val="16"/>
        <w:pBdr>
          <w:top w:val="single" w:color="auto" w:sz="4" w:space="1"/>
          <w:left w:val="single" w:color="auto" w:sz="4" w:space="4"/>
          <w:bottom w:val="single" w:color="auto" w:sz="4" w:space="1"/>
          <w:right w:val="single" w:color="auto" w:sz="4" w:space="4"/>
        </w:pBdr>
      </w:pPr>
      <w:r>
        <w:rPr>
          <w:lang w:val="en-US"/>
        </w:rPr>
        <w:t xml:space="preserve">2. </w:t>
      </w:r>
      <w:r>
        <w:rPr>
          <w:lang w:val="en-US"/>
        </w:rPr>
        <w:tab/>
      </w:r>
      <w:r>
        <w:t>For event triggered L1 measurement, use of beam level measurement result for event evaluation is baseline. FFS for the cell level measurement.</w:t>
      </w:r>
    </w:p>
    <w:p>
      <w:pPr>
        <w:pStyle w:val="16"/>
        <w:pBdr>
          <w:top w:val="single" w:color="auto" w:sz="4" w:space="1"/>
          <w:left w:val="single" w:color="auto" w:sz="4" w:space="4"/>
          <w:bottom w:val="single" w:color="auto" w:sz="4" w:space="1"/>
          <w:right w:val="single" w:color="auto" w:sz="4" w:space="4"/>
        </w:pBdr>
        <w:rPr>
          <w:lang w:val="en-US"/>
        </w:rPr>
      </w:pPr>
      <w:r>
        <w:rPr>
          <w:lang w:val="en-US"/>
        </w:rPr>
        <w:t>3.</w:t>
      </w:r>
      <w:r>
        <w:rPr>
          <w:lang w:val="en-US"/>
        </w:rPr>
        <w:tab/>
      </w:r>
      <w:r>
        <w:rPr>
          <w:lang w:val="en-US"/>
        </w:rPr>
        <w:t>Support the following LTM events based on beam specific quality of serving cell and candidate cells as the L1 LTM measurement events.</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LTM2: Beam of serving cell becomes worse than absolute threshold;</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LTM3: Beam of candidate cell becomes amount of offset better than beam of serving cell;</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LTM4: Beam of candidate cell becomes better than absolute threshold;</w:t>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Event LTM5: Beam of serving cell becomes worse than absolute threshold1 AND Beam of candidate cell becomes better than another absolute threshold2.</w:t>
      </w:r>
    </w:p>
    <w:p>
      <w:pPr>
        <w:pStyle w:val="16"/>
        <w:pBdr>
          <w:top w:val="single" w:color="auto" w:sz="4" w:space="1"/>
          <w:left w:val="single" w:color="auto" w:sz="4" w:space="4"/>
          <w:bottom w:val="single" w:color="auto" w:sz="4" w:space="1"/>
          <w:right w:val="single" w:color="auto" w:sz="4" w:space="4"/>
        </w:pBdr>
        <w:rPr>
          <w:lang w:val="en-US"/>
        </w:rPr>
      </w:pPr>
      <w:r>
        <w:rPr>
          <w:lang w:val="en-US"/>
        </w:rPr>
        <w:tab/>
      </w:r>
    </w:p>
    <w:p>
      <w:pPr>
        <w:pStyle w:val="16"/>
        <w:pBdr>
          <w:top w:val="single" w:color="auto" w:sz="4" w:space="1"/>
          <w:left w:val="single" w:color="auto" w:sz="4" w:space="4"/>
          <w:bottom w:val="single" w:color="auto" w:sz="4" w:space="1"/>
          <w:right w:val="single" w:color="auto" w:sz="4" w:space="4"/>
        </w:pBdr>
        <w:rPr>
          <w:lang w:val="en-US"/>
        </w:rPr>
      </w:pPr>
      <w:r>
        <w:rPr>
          <w:lang w:val="en-US"/>
        </w:rPr>
        <w:tab/>
      </w:r>
      <w:r>
        <w:rPr>
          <w:lang w:val="en-US"/>
        </w:rPr>
        <w:t>FFS on what beam(s) of the serving cell and neighboring cell is used for event evaluation. FFS on the need of Event LTM1.</w:t>
      </w:r>
    </w:p>
    <w:p>
      <w:pPr>
        <w:pStyle w:val="16"/>
        <w:pBdr>
          <w:top w:val="single" w:color="auto" w:sz="4" w:space="1"/>
          <w:left w:val="single" w:color="auto" w:sz="4" w:space="4"/>
          <w:bottom w:val="single" w:color="auto" w:sz="4" w:space="1"/>
          <w:right w:val="single" w:color="auto" w:sz="4" w:space="4"/>
        </w:pBdr>
        <w:rPr>
          <w:lang w:val="en-US"/>
        </w:rPr>
      </w:pPr>
    </w:p>
    <w:p>
      <w:pPr>
        <w:pStyle w:val="16"/>
        <w:pBdr>
          <w:top w:val="single" w:color="auto" w:sz="4" w:space="1"/>
          <w:left w:val="single" w:color="auto" w:sz="4" w:space="4"/>
          <w:bottom w:val="single" w:color="auto" w:sz="4" w:space="1"/>
          <w:right w:val="single" w:color="auto" w:sz="4" w:space="4"/>
        </w:pBdr>
      </w:pPr>
      <w:r>
        <w:rPr>
          <w:lang w:val="en-US"/>
        </w:rPr>
        <w:t>4.</w:t>
      </w:r>
      <w:r>
        <w:rPr>
          <w:lang w:val="en-US"/>
        </w:rPr>
        <w:tab/>
      </w:r>
      <w:r>
        <w:t>Support the beam config of both SSB and CSI-RS in L1 measurement resource configuration in LTM config. Working assumption: Same RS type should be used for both serving and neighbouring cell for event LTM3 and event LTM5.</w:t>
      </w:r>
    </w:p>
    <w:p>
      <w:pPr>
        <w:pStyle w:val="16"/>
        <w:pBdr>
          <w:top w:val="single" w:color="auto" w:sz="4" w:space="1"/>
          <w:left w:val="single" w:color="auto" w:sz="4" w:space="4"/>
          <w:bottom w:val="single" w:color="auto" w:sz="4" w:space="1"/>
          <w:right w:val="single" w:color="auto" w:sz="4" w:space="4"/>
        </w:pBdr>
      </w:pPr>
      <w:r>
        <w:rPr>
          <w:lang w:val="en-US"/>
        </w:rPr>
        <w:t>5.</w:t>
      </w:r>
      <w:r>
        <w:rPr>
          <w:lang w:val="en-US"/>
        </w:rPr>
        <w:tab/>
      </w:r>
      <w:r>
        <w:t>RAN2 assumes filtering of the L1 measure results is needed. It’s up to RAN1 whether the specified L1 filtering is needed or ok to leave it to UE implementation.</w:t>
      </w:r>
    </w:p>
    <w:p>
      <w:pPr>
        <w:pStyle w:val="16"/>
        <w:pBdr>
          <w:top w:val="single" w:color="auto" w:sz="4" w:space="1"/>
          <w:left w:val="single" w:color="auto" w:sz="4" w:space="4"/>
          <w:bottom w:val="single" w:color="auto" w:sz="4" w:space="1"/>
          <w:right w:val="single" w:color="auto" w:sz="4" w:space="4"/>
        </w:pBdr>
        <w:rPr>
          <w:lang w:val="en-US"/>
        </w:rPr>
      </w:pPr>
      <w:r>
        <w:rPr>
          <w:lang w:val="en-US"/>
        </w:rPr>
        <w:t>6.</w:t>
      </w:r>
      <w:r>
        <w:rPr>
          <w:lang w:val="en-US"/>
        </w:rPr>
        <w:tab/>
      </w:r>
      <w:r>
        <w:rPr>
          <w:lang w:val="en-US"/>
        </w:rPr>
        <w:t xml:space="preserve">For LTM event evaluation, TTT, </w:t>
      </w:r>
      <w:r>
        <w:t>hysteresis for entering/leaving, and/or beam specific (FFS for cell specific) offset can be applied. FFS on the need of measurement reporting once leaving condition is met.</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1"/>
          <w:numId w:val="0"/>
        </w:numPr>
        <w:kinsoku/>
        <w:wordWrap/>
        <w:overflowPunct/>
        <w:topLinePunct w:val="0"/>
        <w:autoSpaceDE/>
        <w:autoSpaceDN/>
        <w:bidi w:val="0"/>
        <w:adjustRightInd/>
        <w:snapToGrid/>
        <w:spacing w:line="240" w:lineRule="auto"/>
        <w:ind w:left="0" w:firstLine="0"/>
        <w:textAlignment w:val="auto"/>
      </w:pPr>
      <w:r>
        <w:rPr>
          <w:rFonts w:hint="eastAsia"/>
          <w:lang w:val="en-US" w:eastAsia="zh-CN"/>
        </w:rPr>
        <w:t xml:space="preserve">2.1 Measurement event configuration </w:t>
      </w:r>
      <w:r>
        <w:rPr>
          <w:rFonts w:hint="eastAsia"/>
        </w:rPr>
        <w:t>for L</w:t>
      </w:r>
      <w:r>
        <w:rPr>
          <w:rFonts w:hint="eastAsia"/>
          <w:lang w:val="en-US" w:eastAsia="zh-CN"/>
        </w:rPr>
        <w:t>TM</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1"/>
          <w:lang w:val="en-US" w:eastAsia="zh-CN"/>
        </w:rPr>
      </w:pPr>
      <w:r>
        <w:rPr>
          <w:rFonts w:hint="eastAsia" w:eastAsia="宋体"/>
          <w:lang w:val="en-US" w:eastAsia="zh-CN"/>
        </w:rPr>
        <w:t xml:space="preserve">In last meeting it has been agreed that the L1 filtering、TTT and hysteresis can be applied in event triggerd L1 measurement report to avoid piong-pong cell switch in LTM. </w:t>
      </w:r>
      <w:r>
        <w:rPr>
          <w:rFonts w:hint="eastAsia" w:cs="Times New Roman"/>
          <w:sz w:val="21"/>
          <w:szCs w:val="24"/>
          <w:lang w:val="en-US" w:eastAsia="zh-CN" w:bidi="ar-SA"/>
        </w:rPr>
        <w:t xml:space="preserve">However the event triggered L1 measurement report with filter、Hysteresis、TimeToTrigger to avoid ping-pong may bring addition latency. So it needs to make a trade-off between ping-pong effect and latency. </w:t>
      </w:r>
      <w:r>
        <w:rPr>
          <w:rFonts w:hint="eastAsia"/>
          <w:sz w:val="21"/>
          <w:lang w:val="en-US" w:eastAsia="zh-CN"/>
        </w:rPr>
        <w:t xml:space="preserve">The ping-pong HO maybe has different effects in different scenarios: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intra-DU case, as the UE doesn’t need to perform RLC reestablishment and PDCP data recovery when performing handover</w:t>
      </w:r>
      <w:bookmarkStart w:id="1" w:name="OLE_LINK2"/>
      <w:r>
        <w:rPr>
          <w:rFonts w:hint="eastAsia"/>
          <w:sz w:val="21"/>
          <w:lang w:val="en-US" w:eastAsia="zh-CN"/>
        </w:rPr>
        <w:t>, the ping-pong effect is smaller</w:t>
      </w:r>
      <w:bookmarkEnd w:id="1"/>
      <w:r>
        <w:rPr>
          <w:rFonts w:hint="eastAsia"/>
          <w:sz w:val="21"/>
          <w:lang w:val="en-US" w:eastAsia="zh-CN"/>
        </w:rPr>
        <w:t>, the parameters(filter, Hysteresis, TimeToTrigger, etc) for avoid ping-pong may be not needed or can be set smaller to make a balance between ping-pong rates and latency.</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textAlignment w:val="auto"/>
        <w:rPr>
          <w:rFonts w:hint="eastAsia"/>
          <w:sz w:val="21"/>
          <w:lang w:val="en-US" w:eastAsia="zh-CN"/>
        </w:rPr>
      </w:pPr>
      <w:r>
        <w:rPr>
          <w:rFonts w:hint="eastAsia"/>
          <w:sz w:val="21"/>
          <w:lang w:val="en-US" w:eastAsia="zh-CN"/>
        </w:rPr>
        <w:t>For inter-DU/inter-CU case, as the UE shall perform RLC reestablishment and PDCP data recovery procedure, the ping-pong effect is bigger, the parameters(filter, Hysteresis, TimeToTrigger, etc) for avoid ping-pong is needed or set bigger then intra-DU case.</w:t>
      </w:r>
    </w:p>
    <w:p>
      <w:pPr>
        <w:pStyle w:val="6"/>
        <w:rPr>
          <w:rFonts w:hint="eastAsia" w:ascii="Arial" w:hAnsi="Arial" w:cs="Arial" w:eastAsiaTheme="minorEastAsia"/>
          <w:b/>
          <w:szCs w:val="20"/>
          <w:lang w:val="en-GB" w:eastAsia="zh-CN"/>
        </w:rPr>
      </w:pP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cs="Arial" w:eastAsiaTheme="minorEastAsia"/>
          <w:b/>
          <w:szCs w:val="20"/>
          <w:lang w:val="en-US" w:eastAsia="zh-CN"/>
        </w:rPr>
        <w:t>/inter-CU</w:t>
      </w:r>
      <w:r>
        <w:rPr>
          <w:rFonts w:hint="eastAsia" w:ascii="Arial" w:hAnsi="Arial" w:cs="Arial" w:eastAsiaTheme="minorEastAsia"/>
          <w:b/>
          <w:szCs w:val="20"/>
          <w:lang w:val="en-US" w:eastAsia="zh-CN"/>
        </w:rPr>
        <w:t xml:space="preserve"> scenarios t</w:t>
      </w:r>
      <w:bookmarkStart w:id="2" w:name="OLE_LINK3"/>
      <w:r>
        <w:rPr>
          <w:rFonts w:hint="eastAsia" w:ascii="Arial" w:hAnsi="Arial" w:cs="Arial" w:eastAsiaTheme="minorEastAsia"/>
          <w:b/>
          <w:szCs w:val="20"/>
          <w:lang w:val="en-US" w:eastAsia="zh-CN"/>
        </w:rPr>
        <w:t xml:space="preserve">o make a trade-off </w:t>
      </w:r>
      <w:r>
        <w:rPr>
          <w:rFonts w:hint="eastAsia" w:ascii="Arial" w:hAnsi="Arial" w:cs="Arial" w:eastAsiaTheme="minorEastAsia"/>
          <w:b/>
          <w:szCs w:val="20"/>
          <w:lang w:val="en-GB" w:eastAsia="zh-CN"/>
        </w:rPr>
        <w:t>between ping-pong rates and latency</w:t>
      </w:r>
      <w:bookmarkEnd w:id="2"/>
      <w:r>
        <w:rPr>
          <w:rFonts w:hint="eastAsia" w:ascii="Arial" w:hAnsi="Arial" w:cs="Arial" w:eastAsiaTheme="minorEastAsia"/>
          <w:b/>
          <w:szCs w:val="20"/>
          <w:lang w:val="en-GB" w:eastAsia="zh-CN"/>
        </w:rPr>
        <w:t>.</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last meeting, the event triggered L1 measurement shoud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3"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3"/>
    </w:p>
    <w:p>
      <w:pPr>
        <w:numPr>
          <w:ilvl w:val="0"/>
          <w:numId w:val="0"/>
        </w:numPr>
        <w:ind w:leftChars="0"/>
        <w:jc w:val="both"/>
        <w:rPr>
          <w:rFonts w:hint="default" w:eastAsia="宋体"/>
          <w:b w:val="0"/>
          <w:bCs w:val="0"/>
          <w:lang w:val="en-US" w:eastAsia="zh-CN"/>
        </w:rPr>
      </w:pP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ascii="Arial" w:hAnsi="Arial" w:cs="Arial" w:eastAsiaTheme="minorEastAsia"/>
          <w:b/>
          <w:szCs w:val="20"/>
          <w:lang w:val="en-US" w:eastAsia="zh-CN"/>
        </w:rPr>
        <w:t xml:space="preserve">L1 </w:t>
      </w:r>
      <w:r>
        <w:rPr>
          <w:rFonts w:hint="eastAsia" w:ascii="Arial" w:hAnsi="Arial" w:cs="Arial" w:eastAsiaTheme="minorEastAsia"/>
          <w:b/>
          <w:szCs w:val="20"/>
          <w:lang w:val="en-GB" w:eastAsia="zh-CN"/>
        </w:rPr>
        <w:t xml:space="preserve">Measurement filtering, </w:t>
      </w:r>
      <w:r>
        <w:rPr>
          <w:rFonts w:hint="eastAsia" w:ascii="Arial" w:hAnsi="Arial" w:cs="Arial"/>
          <w:b/>
          <w:bCs/>
          <w:color w:val="auto"/>
          <w:sz w:val="20"/>
          <w:szCs w:val="20"/>
          <w:lang w:val="en-US" w:eastAsia="zh-CN"/>
        </w:rPr>
        <w:t xml:space="preserve">Hysteresis and </w:t>
      </w:r>
      <w:r>
        <w:rPr>
          <w:rFonts w:hint="eastAsia" w:ascii="Arial" w:hAnsi="Arial" w:cs="Arial" w:eastAsiaTheme="minorEastAsia"/>
          <w:b/>
          <w:szCs w:val="20"/>
          <w:lang w:val="en-GB" w:eastAsia="zh-CN"/>
        </w:rPr>
        <w:t>TTT</w:t>
      </w:r>
      <w:r>
        <w:rPr>
          <w:rFonts w:hint="eastAsia" w:ascii="Arial" w:hAnsi="Arial" w:cs="Arial" w:eastAsiaTheme="minorEastAsia"/>
          <w:b/>
          <w:szCs w:val="20"/>
          <w:lang w:val="en-US" w:eastAsia="zh-CN"/>
        </w:rPr>
        <w:t xml:space="preserve"> </w:t>
      </w:r>
      <w:r>
        <w:rPr>
          <w:rFonts w:hint="eastAsia" w:ascii="Arial" w:hAnsi="Arial" w:cs="Arial" w:eastAsiaTheme="minorEastAsia"/>
          <w:b/>
          <w:szCs w:val="20"/>
          <w:lang w:val="en-GB" w:eastAsia="zh-CN"/>
        </w:rPr>
        <w:t xml:space="preserve">may need to be configured differently for Inter-DU and </w:t>
      </w:r>
      <w:r>
        <w:rPr>
          <w:rFonts w:hint="eastAsia" w:ascii="Arial" w:hAnsi="Arial" w:cs="Arial" w:eastAsiaTheme="minorEastAsia"/>
          <w:b/>
          <w:szCs w:val="20"/>
          <w:lang w:val="en-US" w:eastAsia="zh-CN"/>
        </w:rPr>
        <w:t>I</w:t>
      </w:r>
      <w:r>
        <w:rPr>
          <w:rFonts w:hint="eastAsia" w:ascii="Arial" w:hAnsi="Arial" w:cs="Arial" w:eastAsiaTheme="minorEastAsia"/>
          <w:b/>
          <w:szCs w:val="20"/>
          <w:lang w:val="en-GB" w:eastAsia="zh-CN"/>
        </w:rPr>
        <w:t>ntra-DU</w:t>
      </w:r>
      <w:r>
        <w:rPr>
          <w:rFonts w:hint="eastAsia" w:cs="Arial" w:eastAsiaTheme="minorEastAsia"/>
          <w:b/>
          <w:szCs w:val="20"/>
          <w:lang w:val="en-US" w:eastAsia="zh-CN"/>
        </w:rPr>
        <w:t>/inter-CU</w:t>
      </w:r>
      <w:r>
        <w:rPr>
          <w:rFonts w:hint="eastAsia" w:ascii="Arial" w:hAnsi="Arial" w:cs="Arial" w:eastAsiaTheme="minorEastAsia"/>
          <w:b/>
          <w:szCs w:val="20"/>
          <w:lang w:val="en-US" w:eastAsia="zh-CN"/>
        </w:rPr>
        <w:t xml:space="preserve"> scenarios to make a trade-off </w:t>
      </w:r>
      <w:r>
        <w:rPr>
          <w:rFonts w:hint="eastAsia" w:ascii="Arial" w:hAnsi="Arial" w:cs="Arial" w:eastAsiaTheme="minorEastAsia"/>
          <w:b/>
          <w:szCs w:val="20"/>
          <w:lang w:val="en-GB" w:eastAsia="zh-CN"/>
        </w:rPr>
        <w:t>between ping-pong rates and latency.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“Draft_R2_12</w:t>
      </w:r>
      <w:r>
        <w:rPr>
          <w:rFonts w:hint="eastAsia" w:eastAsia="宋体"/>
          <w:sz w:val="22"/>
          <w:szCs w:val="22"/>
          <w:lang w:val="en-US" w:eastAsia="zh-CN"/>
        </w:rPr>
        <w:t>6</w:t>
      </w:r>
      <w:r>
        <w:rPr>
          <w:rFonts w:hint="default" w:eastAsia="宋体"/>
          <w:sz w:val="22"/>
          <w:szCs w:val="22"/>
          <w:lang w:val="en-US" w:eastAsia="zh-CN"/>
        </w:rPr>
        <w:t>_Meeting_Report_v1”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67FA406A"/>
    <w:multiLevelType w:val="multilevel"/>
    <w:tmpl w:val="67FA406A"/>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AAC3D1B"/>
    <w:multiLevelType w:val="singleLevel"/>
    <w:tmpl w:val="7AAC3D1B"/>
    <w:lvl w:ilvl="0" w:tentative="0">
      <w:start w:val="1"/>
      <w:numFmt w:val="bullet"/>
      <w:lvlText w:val=""/>
      <w:lvlJc w:val="left"/>
      <w:pPr>
        <w:ind w:left="420" w:hanging="420"/>
      </w:pPr>
      <w:rPr>
        <w:rFonts w:hint="default" w:ascii="Wingdings" w:hAnsi="Wingdings"/>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29485D"/>
    <w:rsid w:val="074434AD"/>
    <w:rsid w:val="077E1DF5"/>
    <w:rsid w:val="08705469"/>
    <w:rsid w:val="0871778C"/>
    <w:rsid w:val="08C34205"/>
    <w:rsid w:val="09242B66"/>
    <w:rsid w:val="09AA20D3"/>
    <w:rsid w:val="09C8159B"/>
    <w:rsid w:val="0A083CCF"/>
    <w:rsid w:val="0A296EBB"/>
    <w:rsid w:val="0B5A15F4"/>
    <w:rsid w:val="0C480592"/>
    <w:rsid w:val="0C8A04EF"/>
    <w:rsid w:val="0C8B3F6C"/>
    <w:rsid w:val="0CDF38AA"/>
    <w:rsid w:val="0CFB2676"/>
    <w:rsid w:val="0D086537"/>
    <w:rsid w:val="0D6C62FD"/>
    <w:rsid w:val="0D701E08"/>
    <w:rsid w:val="0D840B99"/>
    <w:rsid w:val="0DAF7C6F"/>
    <w:rsid w:val="0F054467"/>
    <w:rsid w:val="0F711142"/>
    <w:rsid w:val="0F846F16"/>
    <w:rsid w:val="0F970BC8"/>
    <w:rsid w:val="0FF1497D"/>
    <w:rsid w:val="102E458D"/>
    <w:rsid w:val="10664121"/>
    <w:rsid w:val="107078FB"/>
    <w:rsid w:val="10D97A01"/>
    <w:rsid w:val="10F5590A"/>
    <w:rsid w:val="10F9442F"/>
    <w:rsid w:val="110E3FBC"/>
    <w:rsid w:val="1259446D"/>
    <w:rsid w:val="12CA4226"/>
    <w:rsid w:val="134C4354"/>
    <w:rsid w:val="13D7274C"/>
    <w:rsid w:val="142030D3"/>
    <w:rsid w:val="151764BF"/>
    <w:rsid w:val="16162911"/>
    <w:rsid w:val="161A2980"/>
    <w:rsid w:val="16231D84"/>
    <w:rsid w:val="166A6E0A"/>
    <w:rsid w:val="16AF5E9F"/>
    <w:rsid w:val="16FF7648"/>
    <w:rsid w:val="172B15A5"/>
    <w:rsid w:val="17A24952"/>
    <w:rsid w:val="17AE7B7C"/>
    <w:rsid w:val="17C0415C"/>
    <w:rsid w:val="18891BE5"/>
    <w:rsid w:val="18C4408C"/>
    <w:rsid w:val="18FE5245"/>
    <w:rsid w:val="19033124"/>
    <w:rsid w:val="190C3624"/>
    <w:rsid w:val="19120992"/>
    <w:rsid w:val="192B61EE"/>
    <w:rsid w:val="19CF1F1C"/>
    <w:rsid w:val="19FC3902"/>
    <w:rsid w:val="1B0106E1"/>
    <w:rsid w:val="1B4F2E04"/>
    <w:rsid w:val="1B5D02DF"/>
    <w:rsid w:val="1B7F05AA"/>
    <w:rsid w:val="1BB5656E"/>
    <w:rsid w:val="1C651C0C"/>
    <w:rsid w:val="1D5C422C"/>
    <w:rsid w:val="1D72553F"/>
    <w:rsid w:val="1DB61295"/>
    <w:rsid w:val="1E7A7055"/>
    <w:rsid w:val="1E837BE2"/>
    <w:rsid w:val="1FF75154"/>
    <w:rsid w:val="205D2601"/>
    <w:rsid w:val="21150F4A"/>
    <w:rsid w:val="21272772"/>
    <w:rsid w:val="217D10FE"/>
    <w:rsid w:val="218C3C37"/>
    <w:rsid w:val="21A07045"/>
    <w:rsid w:val="21DC5F44"/>
    <w:rsid w:val="21EA7E73"/>
    <w:rsid w:val="22846486"/>
    <w:rsid w:val="22927389"/>
    <w:rsid w:val="22E661B8"/>
    <w:rsid w:val="22ED4EA9"/>
    <w:rsid w:val="2311372E"/>
    <w:rsid w:val="23313175"/>
    <w:rsid w:val="236F4355"/>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87B00A7"/>
    <w:rsid w:val="2941444C"/>
    <w:rsid w:val="29523E43"/>
    <w:rsid w:val="2982756F"/>
    <w:rsid w:val="299E3F8A"/>
    <w:rsid w:val="2ABE6C52"/>
    <w:rsid w:val="2ABF7B59"/>
    <w:rsid w:val="2B1B06C1"/>
    <w:rsid w:val="2B1B574F"/>
    <w:rsid w:val="2C151E25"/>
    <w:rsid w:val="2C882B47"/>
    <w:rsid w:val="2C9543B2"/>
    <w:rsid w:val="2CFA3372"/>
    <w:rsid w:val="2D64575D"/>
    <w:rsid w:val="2D912D66"/>
    <w:rsid w:val="2ECA078E"/>
    <w:rsid w:val="2EDC2122"/>
    <w:rsid w:val="2EEC38EF"/>
    <w:rsid w:val="2F264722"/>
    <w:rsid w:val="2F4F1C42"/>
    <w:rsid w:val="2FCB0EFA"/>
    <w:rsid w:val="3038562B"/>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872072"/>
    <w:rsid w:val="3C93695A"/>
    <w:rsid w:val="3CCF2B82"/>
    <w:rsid w:val="3D064EB3"/>
    <w:rsid w:val="3F3A2108"/>
    <w:rsid w:val="3F3C3648"/>
    <w:rsid w:val="402D6EED"/>
    <w:rsid w:val="40572BA6"/>
    <w:rsid w:val="40575782"/>
    <w:rsid w:val="405B3D86"/>
    <w:rsid w:val="40987E39"/>
    <w:rsid w:val="41A229C0"/>
    <w:rsid w:val="41FA152C"/>
    <w:rsid w:val="421B5540"/>
    <w:rsid w:val="427F40C3"/>
    <w:rsid w:val="433F51D5"/>
    <w:rsid w:val="4379118C"/>
    <w:rsid w:val="43F1148F"/>
    <w:rsid w:val="440B0F36"/>
    <w:rsid w:val="446E3F52"/>
    <w:rsid w:val="44724F1D"/>
    <w:rsid w:val="448E1E9E"/>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A75289"/>
    <w:rsid w:val="4CA501B4"/>
    <w:rsid w:val="4CEB6606"/>
    <w:rsid w:val="4DBA64D0"/>
    <w:rsid w:val="4DC01E5E"/>
    <w:rsid w:val="4DE56289"/>
    <w:rsid w:val="4E5308E7"/>
    <w:rsid w:val="4EF2504D"/>
    <w:rsid w:val="4F305F01"/>
    <w:rsid w:val="4FC5637B"/>
    <w:rsid w:val="4FE74116"/>
    <w:rsid w:val="50486FE9"/>
    <w:rsid w:val="505952FE"/>
    <w:rsid w:val="505D4828"/>
    <w:rsid w:val="512637BE"/>
    <w:rsid w:val="51292B01"/>
    <w:rsid w:val="512C578B"/>
    <w:rsid w:val="513F69E1"/>
    <w:rsid w:val="52731D06"/>
    <w:rsid w:val="529A7957"/>
    <w:rsid w:val="53EA6F9A"/>
    <w:rsid w:val="53F070C1"/>
    <w:rsid w:val="545D2BA8"/>
    <w:rsid w:val="54A934E9"/>
    <w:rsid w:val="54F44BA6"/>
    <w:rsid w:val="55B4202C"/>
    <w:rsid w:val="55C500DF"/>
    <w:rsid w:val="55DA4CD9"/>
    <w:rsid w:val="56870F30"/>
    <w:rsid w:val="569228A9"/>
    <w:rsid w:val="56F007AB"/>
    <w:rsid w:val="5731633C"/>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C4F06"/>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919EF"/>
    <w:rsid w:val="662D4756"/>
    <w:rsid w:val="668F0881"/>
    <w:rsid w:val="66EE5EB2"/>
    <w:rsid w:val="67501472"/>
    <w:rsid w:val="67526135"/>
    <w:rsid w:val="676E35D8"/>
    <w:rsid w:val="6770270C"/>
    <w:rsid w:val="67E57609"/>
    <w:rsid w:val="67FC5648"/>
    <w:rsid w:val="68136DF9"/>
    <w:rsid w:val="68467009"/>
    <w:rsid w:val="685A4CFC"/>
    <w:rsid w:val="68835C7D"/>
    <w:rsid w:val="68843869"/>
    <w:rsid w:val="68B056ED"/>
    <w:rsid w:val="68D74AB5"/>
    <w:rsid w:val="69957377"/>
    <w:rsid w:val="6A1D554E"/>
    <w:rsid w:val="6A227A14"/>
    <w:rsid w:val="6A2A1BFB"/>
    <w:rsid w:val="6B230E25"/>
    <w:rsid w:val="6B5F3459"/>
    <w:rsid w:val="6BBD35E1"/>
    <w:rsid w:val="6BD84F85"/>
    <w:rsid w:val="6D186743"/>
    <w:rsid w:val="6D657093"/>
    <w:rsid w:val="6D912D15"/>
    <w:rsid w:val="6DB773DA"/>
    <w:rsid w:val="6F7A7829"/>
    <w:rsid w:val="6F8945E5"/>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B68F1"/>
    <w:rsid w:val="75D904B6"/>
    <w:rsid w:val="75E80709"/>
    <w:rsid w:val="762B57C5"/>
    <w:rsid w:val="767E3B53"/>
    <w:rsid w:val="77E058FB"/>
    <w:rsid w:val="78071F72"/>
    <w:rsid w:val="786414B4"/>
    <w:rsid w:val="78774C15"/>
    <w:rsid w:val="78827AE1"/>
    <w:rsid w:val="78AE26CF"/>
    <w:rsid w:val="799465E1"/>
    <w:rsid w:val="79A36E38"/>
    <w:rsid w:val="79AD14BA"/>
    <w:rsid w:val="79D35A65"/>
    <w:rsid w:val="79DF4049"/>
    <w:rsid w:val="7A102ABD"/>
    <w:rsid w:val="7A2F2424"/>
    <w:rsid w:val="7B24076C"/>
    <w:rsid w:val="7B764BBF"/>
    <w:rsid w:val="7B7A37E2"/>
    <w:rsid w:val="7B84483F"/>
    <w:rsid w:val="7C1164A2"/>
    <w:rsid w:val="7C5B2870"/>
    <w:rsid w:val="7CB960BC"/>
    <w:rsid w:val="7D3C12C6"/>
    <w:rsid w:val="7D876979"/>
    <w:rsid w:val="7DCB2B8A"/>
    <w:rsid w:val="7DDD21DB"/>
    <w:rsid w:val="7EA24DF3"/>
    <w:rsid w:val="7EAD531F"/>
    <w:rsid w:val="7EB6157B"/>
    <w:rsid w:val="7EC76F8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139</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ww</cp:lastModifiedBy>
  <dcterms:modified xsi:type="dcterms:W3CDTF">2024-08-08T11:21:16Z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